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C45D5" w14:textId="77777777" w:rsidR="00FD74D9" w:rsidRDefault="00FD74D9" w:rsidP="00656D0D">
      <w:pPr>
        <w:contextualSpacing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BA94C83" w14:textId="77777777" w:rsidR="00656D0D" w:rsidRPr="00A647BE" w:rsidRDefault="00B04279" w:rsidP="00656D0D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A647BE">
        <w:rPr>
          <w:rFonts w:ascii="Arial" w:hAnsi="Arial" w:cs="Arial"/>
          <w:b/>
          <w:bCs/>
          <w:sz w:val="22"/>
          <w:szCs w:val="22"/>
        </w:rPr>
        <w:t>Background</w:t>
      </w:r>
      <w:r w:rsidR="00656D0D" w:rsidRPr="00A647BE">
        <w:rPr>
          <w:rFonts w:ascii="Arial" w:hAnsi="Arial" w:cs="Arial"/>
          <w:b/>
          <w:bCs/>
          <w:sz w:val="22"/>
          <w:szCs w:val="22"/>
        </w:rPr>
        <w:t>:</w:t>
      </w:r>
    </w:p>
    <w:p w14:paraId="38E927D7" w14:textId="77777777" w:rsidR="00656D0D" w:rsidRPr="00A647BE" w:rsidRDefault="00656D0D" w:rsidP="00656D0D">
      <w:p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1C1C5E7" w14:textId="6F9295D0" w:rsidR="00110899" w:rsidRPr="00A647BE" w:rsidRDefault="00BF293B" w:rsidP="000A00ED">
      <w:pPr>
        <w:pStyle w:val="ListParagraph"/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 w:rsidRPr="00A647BE">
        <w:rPr>
          <w:rFonts w:ascii="Arial" w:hAnsi="Arial" w:cs="Arial"/>
          <w:color w:val="000000"/>
          <w:sz w:val="22"/>
          <w:szCs w:val="22"/>
        </w:rPr>
        <w:t>The U.S. Department of Agriculture (USDA)</w:t>
      </w:r>
      <w:r w:rsidR="00656D0D" w:rsidRPr="00A647BE">
        <w:rPr>
          <w:rFonts w:ascii="Arial" w:hAnsi="Arial" w:cs="Arial"/>
          <w:color w:val="000000"/>
          <w:sz w:val="22"/>
          <w:szCs w:val="22"/>
        </w:rPr>
        <w:t xml:space="preserve"> has discretion in how yields are set for administering the</w:t>
      </w:r>
      <w:r w:rsidRPr="00A647BE">
        <w:rPr>
          <w:rFonts w:ascii="Arial" w:hAnsi="Arial" w:cs="Arial"/>
          <w:color w:val="000000"/>
          <w:sz w:val="22"/>
          <w:szCs w:val="22"/>
        </w:rPr>
        <w:t xml:space="preserve"> Agriculture Risk Coverage county yield (</w:t>
      </w:r>
      <w:r w:rsidR="00656D0D" w:rsidRPr="00A647BE">
        <w:rPr>
          <w:rFonts w:ascii="Arial" w:hAnsi="Arial" w:cs="Arial"/>
          <w:color w:val="000000"/>
          <w:sz w:val="22"/>
          <w:szCs w:val="22"/>
        </w:rPr>
        <w:t>ARC-CO</w:t>
      </w:r>
      <w:r w:rsidRPr="00A647BE">
        <w:rPr>
          <w:rFonts w:ascii="Arial" w:hAnsi="Arial" w:cs="Arial"/>
          <w:color w:val="000000"/>
          <w:sz w:val="22"/>
          <w:szCs w:val="22"/>
        </w:rPr>
        <w:t>)</w:t>
      </w:r>
      <w:r w:rsidR="00656D0D" w:rsidRPr="00A647BE">
        <w:rPr>
          <w:rFonts w:ascii="Arial" w:hAnsi="Arial" w:cs="Arial"/>
          <w:color w:val="000000"/>
          <w:sz w:val="22"/>
          <w:szCs w:val="22"/>
        </w:rPr>
        <w:t xml:space="preserve"> program. Yield</w:t>
      </w:r>
      <w:r w:rsidR="002225D7" w:rsidRPr="00A647BE">
        <w:rPr>
          <w:rFonts w:ascii="Arial" w:hAnsi="Arial" w:cs="Arial"/>
          <w:color w:val="000000"/>
          <w:sz w:val="22"/>
          <w:szCs w:val="22"/>
        </w:rPr>
        <w:t>s</w:t>
      </w:r>
      <w:r w:rsidR="00656D0D" w:rsidRPr="00A647BE">
        <w:rPr>
          <w:rFonts w:ascii="Arial" w:hAnsi="Arial" w:cs="Arial"/>
          <w:color w:val="000000"/>
          <w:sz w:val="22"/>
          <w:szCs w:val="22"/>
        </w:rPr>
        <w:t xml:space="preserve"> are critical to setting both the benchmark guarantee for a county and the county’s actual yield in any given year. </w:t>
      </w:r>
      <w:r w:rsidR="00656D0D" w:rsidRPr="00A647BE">
        <w:rPr>
          <w:rFonts w:ascii="Arial" w:hAnsi="Arial" w:cs="Arial"/>
          <w:sz w:val="22"/>
          <w:szCs w:val="22"/>
        </w:rPr>
        <w:t>Data requirements for ARC-CO</w:t>
      </w:r>
      <w:r w:rsidR="001B473B" w:rsidRPr="00A647BE">
        <w:rPr>
          <w:rFonts w:ascii="Arial" w:hAnsi="Arial" w:cs="Arial"/>
          <w:sz w:val="22"/>
          <w:szCs w:val="22"/>
        </w:rPr>
        <w:t xml:space="preserve"> </w:t>
      </w:r>
      <w:r w:rsidR="001066D0" w:rsidRPr="00A647BE">
        <w:rPr>
          <w:rFonts w:ascii="Arial" w:hAnsi="Arial" w:cs="Arial"/>
          <w:sz w:val="22"/>
          <w:szCs w:val="22"/>
        </w:rPr>
        <w:t xml:space="preserve">include </w:t>
      </w:r>
      <w:r w:rsidR="002225D7" w:rsidRPr="00A647BE">
        <w:rPr>
          <w:rFonts w:ascii="Arial" w:hAnsi="Arial" w:cs="Arial"/>
          <w:sz w:val="22"/>
          <w:szCs w:val="22"/>
        </w:rPr>
        <w:t xml:space="preserve">approximately </w:t>
      </w:r>
      <w:r w:rsidR="00656D0D" w:rsidRPr="00A647BE">
        <w:rPr>
          <w:rFonts w:ascii="Arial" w:hAnsi="Arial" w:cs="Arial"/>
          <w:sz w:val="22"/>
          <w:szCs w:val="22"/>
        </w:rPr>
        <w:t>100,000 separate crop/county yields in any given year.</w:t>
      </w:r>
      <w:r w:rsidR="002225D7" w:rsidRPr="00A647BE">
        <w:rPr>
          <w:rFonts w:ascii="Arial" w:hAnsi="Arial" w:cs="Arial"/>
          <w:sz w:val="22"/>
          <w:szCs w:val="22"/>
        </w:rPr>
        <w:t xml:space="preserve"> </w:t>
      </w:r>
      <w:r w:rsidR="00492640" w:rsidRPr="00A647BE">
        <w:rPr>
          <w:rFonts w:ascii="Arial" w:hAnsi="Arial" w:cs="Arial"/>
          <w:sz w:val="22"/>
          <w:szCs w:val="22"/>
        </w:rPr>
        <w:t xml:space="preserve">The accompanying data file includes only crop/county combinations </w:t>
      </w:r>
      <w:r w:rsidR="00110899" w:rsidRPr="00A647BE">
        <w:rPr>
          <w:rFonts w:ascii="Arial" w:hAnsi="Arial" w:cs="Arial"/>
          <w:sz w:val="22"/>
          <w:szCs w:val="22"/>
        </w:rPr>
        <w:t xml:space="preserve">for which ARC-CO yields are established in the 2009-15 data series. The initial posting includes corn, soybean, and wheat data.  </w:t>
      </w:r>
    </w:p>
    <w:p w14:paraId="21986CCC" w14:textId="77777777" w:rsidR="00110899" w:rsidRPr="00A647BE" w:rsidRDefault="00110899" w:rsidP="00110899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56FB3D27" w14:textId="4A88BD74" w:rsidR="009B5294" w:rsidRPr="00F32EC6" w:rsidRDefault="002E219F" w:rsidP="00BF512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sz w:val="22"/>
          <w:szCs w:val="22"/>
        </w:rPr>
        <w:t xml:space="preserve">The ARC-CO calculation requires </w:t>
      </w:r>
      <w:r w:rsidR="00BF293B">
        <w:rPr>
          <w:rFonts w:ascii="Arial" w:hAnsi="Arial" w:cs="Arial"/>
          <w:sz w:val="22"/>
          <w:szCs w:val="22"/>
        </w:rPr>
        <w:t>six</w:t>
      </w:r>
      <w:r w:rsidRPr="00F32EC6">
        <w:rPr>
          <w:rFonts w:ascii="Arial" w:hAnsi="Arial" w:cs="Arial"/>
          <w:sz w:val="22"/>
          <w:szCs w:val="22"/>
        </w:rPr>
        <w:t xml:space="preserve"> yields </w:t>
      </w:r>
      <w:r w:rsidR="00BB42E8">
        <w:rPr>
          <w:rFonts w:ascii="Arial" w:hAnsi="Arial" w:cs="Arial"/>
          <w:sz w:val="22"/>
          <w:szCs w:val="22"/>
        </w:rPr>
        <w:t>to calculate a payment for each county</w:t>
      </w:r>
      <w:r w:rsidRPr="00F32EC6">
        <w:rPr>
          <w:rFonts w:ascii="Arial" w:hAnsi="Arial" w:cs="Arial"/>
          <w:sz w:val="22"/>
          <w:szCs w:val="22"/>
        </w:rPr>
        <w:t>:</w:t>
      </w:r>
    </w:p>
    <w:p w14:paraId="7F65EF4F" w14:textId="2B59892A" w:rsidR="00BF5123" w:rsidRPr="00F32EC6" w:rsidRDefault="00BF293B" w:rsidP="00BF512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</w:t>
      </w:r>
      <w:r w:rsidR="002E219F" w:rsidRPr="00F32EC6">
        <w:rPr>
          <w:rFonts w:ascii="Arial" w:hAnsi="Arial" w:cs="Arial"/>
          <w:sz w:val="22"/>
          <w:szCs w:val="22"/>
        </w:rPr>
        <w:t xml:space="preserve"> historical yields used in calculating the benchmark yield, dropping the high and the low yield</w:t>
      </w:r>
      <w:r w:rsidR="00BF5123" w:rsidRPr="00F32EC6">
        <w:rPr>
          <w:rFonts w:ascii="Arial" w:hAnsi="Arial" w:cs="Arial"/>
          <w:sz w:val="22"/>
          <w:szCs w:val="22"/>
        </w:rPr>
        <w:t xml:space="preserve"> (when multiplied by the benchmark price, this is the basis for the revenue guarantee).</w:t>
      </w:r>
    </w:p>
    <w:p w14:paraId="049AAA5B" w14:textId="77777777" w:rsidR="009B5294" w:rsidRDefault="002E219F" w:rsidP="00BF512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sz w:val="22"/>
          <w:szCs w:val="22"/>
        </w:rPr>
        <w:t>The actual yield for the year (which is critical to determining the payment rate).</w:t>
      </w:r>
    </w:p>
    <w:p w14:paraId="415F3433" w14:textId="77777777" w:rsidR="00942B85" w:rsidRDefault="00942B85" w:rsidP="00942B8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C8613E4" w14:textId="77777777" w:rsidR="00F32EC6" w:rsidRPr="00942B85" w:rsidRDefault="00F32EC6" w:rsidP="00942B85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Cs/>
          <w:sz w:val="22"/>
          <w:szCs w:val="22"/>
        </w:rPr>
      </w:pPr>
      <w:r w:rsidRPr="00942B85">
        <w:rPr>
          <w:rFonts w:ascii="Arial" w:hAnsi="Arial" w:cs="Arial"/>
          <w:bCs/>
          <w:sz w:val="22"/>
          <w:szCs w:val="22"/>
        </w:rPr>
        <w:t xml:space="preserve">Variation in ARC-CO payments across counties is due to differences in actual yields in any given year relative to the benchmark. </w:t>
      </w:r>
    </w:p>
    <w:p w14:paraId="7EB5D975" w14:textId="77777777" w:rsidR="00656D0D" w:rsidRPr="00F32EC6" w:rsidRDefault="00656D0D" w:rsidP="00656D0D">
      <w:pPr>
        <w:pStyle w:val="ListParagraph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884AEAB" w14:textId="3530B612" w:rsidR="009E3726" w:rsidRPr="009E3726" w:rsidRDefault="00656D0D" w:rsidP="00656D0D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color w:val="000000"/>
          <w:sz w:val="22"/>
          <w:szCs w:val="22"/>
        </w:rPr>
        <w:t xml:space="preserve">FSA </w:t>
      </w:r>
      <w:r w:rsidR="002225D7">
        <w:rPr>
          <w:rFonts w:ascii="Arial" w:hAnsi="Arial" w:cs="Arial"/>
          <w:color w:val="000000"/>
          <w:sz w:val="22"/>
          <w:szCs w:val="22"/>
        </w:rPr>
        <w:t xml:space="preserve">prioritizes the use of different yield data sources </w:t>
      </w:r>
      <w:r w:rsidRPr="00F32EC6">
        <w:rPr>
          <w:rFonts w:ascii="Arial" w:hAnsi="Arial" w:cs="Arial"/>
          <w:color w:val="000000"/>
          <w:sz w:val="22"/>
          <w:szCs w:val="22"/>
        </w:rPr>
        <w:t>us</w:t>
      </w:r>
      <w:r w:rsidR="002225D7">
        <w:rPr>
          <w:rFonts w:ascii="Arial" w:hAnsi="Arial" w:cs="Arial"/>
          <w:color w:val="000000"/>
          <w:sz w:val="22"/>
          <w:szCs w:val="22"/>
        </w:rPr>
        <w:t>ing</w:t>
      </w:r>
      <w:r w:rsidRPr="00F32EC6">
        <w:rPr>
          <w:rFonts w:ascii="Arial" w:hAnsi="Arial" w:cs="Arial"/>
          <w:color w:val="000000"/>
          <w:sz w:val="22"/>
          <w:szCs w:val="22"/>
        </w:rPr>
        <w:t xml:space="preserve"> a “cascade” approach</w:t>
      </w:r>
      <w:r w:rsidR="009E3726">
        <w:rPr>
          <w:rFonts w:ascii="Arial" w:hAnsi="Arial" w:cs="Arial"/>
          <w:color w:val="000000"/>
          <w:sz w:val="22"/>
          <w:szCs w:val="22"/>
        </w:rPr>
        <w:t xml:space="preserve"> if</w:t>
      </w:r>
      <w:r w:rsidR="002225D7">
        <w:rPr>
          <w:rFonts w:ascii="Arial" w:hAnsi="Arial" w:cs="Arial"/>
          <w:color w:val="000000"/>
          <w:sz w:val="22"/>
          <w:szCs w:val="22"/>
        </w:rPr>
        <w:t>:</w:t>
      </w:r>
      <w:r w:rsidRPr="00F32EC6">
        <w:rPr>
          <w:rFonts w:ascii="Arial" w:hAnsi="Arial" w:cs="Arial"/>
          <w:color w:val="000000"/>
          <w:sz w:val="22"/>
          <w:szCs w:val="22"/>
        </w:rPr>
        <w:t xml:space="preserve"> </w:t>
      </w:r>
      <w:r w:rsidR="002225D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E64F01" w14:textId="13709278" w:rsidR="009E3726" w:rsidRPr="009E3726" w:rsidRDefault="00641B39" w:rsidP="009E3726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337FC">
        <w:rPr>
          <w:rFonts w:ascii="Arial" w:hAnsi="Arial" w:cs="Arial"/>
          <w:sz w:val="22"/>
          <w:szCs w:val="22"/>
        </w:rPr>
        <w:t>National Agricultural Statistics Servi</w:t>
      </w:r>
      <w:r w:rsidRPr="00E337FC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(</w:t>
      </w:r>
      <w:r w:rsidR="00656D0D" w:rsidRPr="00F32EC6">
        <w:rPr>
          <w:rFonts w:ascii="Arial" w:hAnsi="Arial" w:cs="Arial"/>
          <w:color w:val="000000"/>
          <w:sz w:val="22"/>
          <w:szCs w:val="22"/>
        </w:rPr>
        <w:t>NASS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656D0D" w:rsidRPr="00F32EC6">
        <w:rPr>
          <w:rFonts w:ascii="Arial" w:hAnsi="Arial" w:cs="Arial"/>
          <w:color w:val="000000"/>
          <w:sz w:val="22"/>
          <w:szCs w:val="22"/>
        </w:rPr>
        <w:t xml:space="preserve"> county data are available, that is the data used; </w:t>
      </w:r>
    </w:p>
    <w:p w14:paraId="36031F07" w14:textId="65C4657C" w:rsidR="009E3726" w:rsidRPr="009E3726" w:rsidRDefault="00BF293B" w:rsidP="009E3726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NASS data are unavailable, </w:t>
      </w:r>
      <w:r w:rsidR="00641B39" w:rsidRPr="00E337FC">
        <w:rPr>
          <w:rFonts w:ascii="Arial" w:hAnsi="Arial" w:cs="Arial"/>
          <w:sz w:val="22"/>
          <w:szCs w:val="22"/>
        </w:rPr>
        <w:t xml:space="preserve">Risk Management Agency </w:t>
      </w:r>
      <w:r w:rsidR="00641B39">
        <w:rPr>
          <w:rFonts w:ascii="Arial" w:hAnsi="Arial" w:cs="Arial"/>
          <w:sz w:val="22"/>
          <w:szCs w:val="22"/>
        </w:rPr>
        <w:t>(</w:t>
      </w:r>
      <w:r w:rsidR="00656D0D" w:rsidRPr="00F32EC6">
        <w:rPr>
          <w:rFonts w:ascii="Arial" w:hAnsi="Arial" w:cs="Arial"/>
          <w:color w:val="000000"/>
          <w:sz w:val="22"/>
          <w:szCs w:val="22"/>
        </w:rPr>
        <w:t>RMA</w:t>
      </w:r>
      <w:r w:rsidR="00641B39">
        <w:rPr>
          <w:rFonts w:ascii="Arial" w:hAnsi="Arial" w:cs="Arial"/>
          <w:color w:val="000000"/>
          <w:sz w:val="22"/>
          <w:szCs w:val="22"/>
        </w:rPr>
        <w:t>)</w:t>
      </w:r>
      <w:r w:rsidR="00656D0D" w:rsidRPr="00F32EC6">
        <w:rPr>
          <w:rFonts w:ascii="Arial" w:hAnsi="Arial" w:cs="Arial"/>
          <w:color w:val="000000"/>
          <w:sz w:val="22"/>
          <w:szCs w:val="22"/>
        </w:rPr>
        <w:t xml:space="preserve"> county data are used; and </w:t>
      </w:r>
    </w:p>
    <w:p w14:paraId="064F14C5" w14:textId="63B4E719" w:rsidR="00641B39" w:rsidRPr="00641B39" w:rsidRDefault="009E3726" w:rsidP="00641B39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656D0D" w:rsidRPr="00F32EC6">
        <w:rPr>
          <w:rFonts w:ascii="Arial" w:hAnsi="Arial" w:cs="Arial"/>
          <w:color w:val="000000"/>
          <w:sz w:val="22"/>
          <w:szCs w:val="22"/>
        </w:rPr>
        <w:t xml:space="preserve">either NASS nor RMA data are available, yields are determined by </w:t>
      </w:r>
      <w:r w:rsidR="00BF293B">
        <w:rPr>
          <w:rFonts w:ascii="Arial" w:hAnsi="Arial" w:cs="Arial"/>
          <w:color w:val="000000"/>
          <w:sz w:val="22"/>
          <w:szCs w:val="22"/>
        </w:rPr>
        <w:t>Farm Service Agency (FSA)</w:t>
      </w:r>
      <w:r w:rsidR="00656D0D" w:rsidRPr="00F32EC6">
        <w:rPr>
          <w:rFonts w:ascii="Arial" w:hAnsi="Arial" w:cs="Arial"/>
          <w:color w:val="000000"/>
          <w:sz w:val="22"/>
          <w:szCs w:val="22"/>
        </w:rPr>
        <w:t xml:space="preserve"> State Committees (based on NASS crop reporting district data, interaction with extension specialists, or other sources). </w:t>
      </w:r>
    </w:p>
    <w:p w14:paraId="05841501" w14:textId="77777777" w:rsidR="00641B39" w:rsidRPr="00641B39" w:rsidRDefault="00641B39" w:rsidP="00E337FC">
      <w:pPr>
        <w:pStyle w:val="ListParagraph"/>
        <w:ind w:left="1440"/>
        <w:contextualSpacing/>
        <w:rPr>
          <w:rFonts w:ascii="Arial" w:hAnsi="Arial" w:cs="Arial"/>
          <w:sz w:val="22"/>
          <w:szCs w:val="22"/>
        </w:rPr>
      </w:pPr>
    </w:p>
    <w:p w14:paraId="20194BF7" w14:textId="68953821" w:rsidR="00641B39" w:rsidRPr="00E337FC" w:rsidRDefault="00E337FC" w:rsidP="00E337FC">
      <w:pPr>
        <w:contextualSpacing/>
        <w:rPr>
          <w:rFonts w:ascii="Arial" w:hAnsi="Arial" w:cs="Arial"/>
          <w:sz w:val="22"/>
          <w:szCs w:val="22"/>
        </w:rPr>
      </w:pPr>
      <w:r w:rsidRPr="00E337FC">
        <w:rPr>
          <w:rFonts w:ascii="Arial" w:hAnsi="Arial" w:cs="Arial"/>
          <w:b/>
          <w:sz w:val="22"/>
          <w:szCs w:val="22"/>
        </w:rPr>
        <w:t>Note:</w:t>
      </w:r>
      <w:r w:rsidRPr="00E337FC">
        <w:rPr>
          <w:rFonts w:ascii="Arial" w:hAnsi="Arial" w:cs="Arial"/>
          <w:sz w:val="22"/>
          <w:szCs w:val="22"/>
        </w:rPr>
        <w:t xml:space="preserve"> </w:t>
      </w:r>
      <w:r w:rsidR="00641B39" w:rsidRPr="00E337FC">
        <w:rPr>
          <w:rFonts w:ascii="Arial" w:hAnsi="Arial" w:cs="Arial"/>
          <w:sz w:val="22"/>
          <w:szCs w:val="22"/>
        </w:rPr>
        <w:t>Any given row in the file contains</w:t>
      </w:r>
      <w:r w:rsidR="00641B39" w:rsidRPr="00E337FC">
        <w:rPr>
          <w:rFonts w:ascii="Arial" w:hAnsi="Arial" w:cs="Arial"/>
          <w:sz w:val="22"/>
          <w:szCs w:val="22"/>
        </w:rPr>
        <w:t xml:space="preserve"> </w:t>
      </w:r>
      <w:r w:rsidR="00641B39" w:rsidRPr="00E337FC">
        <w:rPr>
          <w:rFonts w:ascii="Arial" w:hAnsi="Arial" w:cs="Arial"/>
          <w:sz w:val="22"/>
          <w:szCs w:val="22"/>
        </w:rPr>
        <w:t>NASS yield data, RMA yield data, and/or blank entries. Blank entries indicate that neither a NASS nor RMA yield was available for that county/crop combination in that year. Blank entries were provided by the State FSA committees and appear in the “2014 and 2015 ARC-County Yield, Revenue, and Payment Rates…” file also located on the ARC/PLC Program Data page.</w:t>
      </w:r>
    </w:p>
    <w:p w14:paraId="2E129442" w14:textId="77777777" w:rsidR="00641B39" w:rsidRPr="00641B39" w:rsidRDefault="00641B39" w:rsidP="00641B39">
      <w:pPr>
        <w:contextualSpacing/>
        <w:rPr>
          <w:rFonts w:ascii="Arial" w:hAnsi="Arial" w:cs="Arial"/>
          <w:sz w:val="22"/>
          <w:szCs w:val="22"/>
        </w:rPr>
      </w:pPr>
    </w:p>
    <w:p w14:paraId="105C2C8B" w14:textId="77777777" w:rsidR="001F1E53" w:rsidRPr="001F1E53" w:rsidRDefault="001F1E53" w:rsidP="001F1E53">
      <w:pPr>
        <w:contextualSpacing/>
        <w:rPr>
          <w:rFonts w:ascii="Arial" w:hAnsi="Arial" w:cs="Arial"/>
          <w:b/>
          <w:sz w:val="22"/>
          <w:szCs w:val="22"/>
        </w:rPr>
      </w:pPr>
      <w:r w:rsidRPr="001F1E53">
        <w:rPr>
          <w:rFonts w:ascii="Arial" w:hAnsi="Arial" w:cs="Arial"/>
          <w:b/>
          <w:sz w:val="22"/>
          <w:szCs w:val="22"/>
        </w:rPr>
        <w:t xml:space="preserve">Specifics </w:t>
      </w:r>
      <w:r>
        <w:rPr>
          <w:rFonts w:ascii="Arial" w:hAnsi="Arial" w:cs="Arial"/>
          <w:b/>
          <w:sz w:val="22"/>
          <w:szCs w:val="22"/>
        </w:rPr>
        <w:t xml:space="preserve">on </w:t>
      </w:r>
      <w:r w:rsidRPr="001F1E53">
        <w:rPr>
          <w:rFonts w:ascii="Arial" w:hAnsi="Arial" w:cs="Arial"/>
          <w:b/>
          <w:sz w:val="22"/>
          <w:szCs w:val="22"/>
        </w:rPr>
        <w:t>NASS and RMA Data:</w:t>
      </w:r>
    </w:p>
    <w:p w14:paraId="3B257D87" w14:textId="77777777" w:rsidR="001F1E53" w:rsidRPr="001B473B" w:rsidRDefault="001F1E53" w:rsidP="001B473B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284D8441" w14:textId="77777777" w:rsidR="001B473B" w:rsidRDefault="001B473B" w:rsidP="00656D0D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NASS</w:t>
      </w:r>
      <w:r w:rsidR="002225D7">
        <w:rPr>
          <w:rFonts w:ascii="Arial" w:hAnsi="Arial" w:cs="Arial"/>
          <w:sz w:val="22"/>
          <w:szCs w:val="22"/>
        </w:rPr>
        <w:t>-based yields</w:t>
      </w:r>
      <w:r>
        <w:rPr>
          <w:rFonts w:ascii="Arial" w:hAnsi="Arial" w:cs="Arial"/>
          <w:sz w:val="22"/>
          <w:szCs w:val="22"/>
        </w:rPr>
        <w:t xml:space="preserve"> </w:t>
      </w:r>
      <w:r w:rsidR="002225D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sed </w:t>
      </w:r>
      <w:r w:rsidR="002225D7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ARC-CO are different tha</w:t>
      </w:r>
      <w:r w:rsidR="002225D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the </w:t>
      </w:r>
      <w:r w:rsidR="002225D7">
        <w:rPr>
          <w:rFonts w:ascii="Arial" w:hAnsi="Arial" w:cs="Arial"/>
          <w:sz w:val="22"/>
          <w:szCs w:val="22"/>
        </w:rPr>
        <w:t xml:space="preserve">yields reported </w:t>
      </w:r>
      <w:r>
        <w:rPr>
          <w:rFonts w:ascii="Arial" w:hAnsi="Arial" w:cs="Arial"/>
          <w:sz w:val="22"/>
          <w:szCs w:val="22"/>
        </w:rPr>
        <w:t xml:space="preserve">in NASS publications and in the </w:t>
      </w:r>
      <w:proofErr w:type="spellStart"/>
      <w:r>
        <w:rPr>
          <w:rFonts w:ascii="Arial" w:hAnsi="Arial" w:cs="Arial"/>
          <w:sz w:val="22"/>
          <w:szCs w:val="22"/>
        </w:rPr>
        <w:t>QuickStats</w:t>
      </w:r>
      <w:proofErr w:type="spellEnd"/>
      <w:r>
        <w:rPr>
          <w:rFonts w:ascii="Arial" w:hAnsi="Arial" w:cs="Arial"/>
          <w:sz w:val="22"/>
          <w:szCs w:val="22"/>
        </w:rPr>
        <w:t xml:space="preserve"> database. NASS publishes a harvested acre yield;</w:t>
      </w:r>
      <w:r w:rsidR="002225D7">
        <w:rPr>
          <w:rFonts w:ascii="Arial" w:hAnsi="Arial" w:cs="Arial"/>
          <w:sz w:val="22"/>
          <w:szCs w:val="22"/>
        </w:rPr>
        <w:t xml:space="preserve"> by statute,</w:t>
      </w:r>
      <w:r>
        <w:rPr>
          <w:rFonts w:ascii="Arial" w:hAnsi="Arial" w:cs="Arial"/>
          <w:sz w:val="22"/>
          <w:szCs w:val="22"/>
        </w:rPr>
        <w:t xml:space="preserve"> ARC-CO uses a planted acre yield.</w:t>
      </w:r>
    </w:p>
    <w:p w14:paraId="40D76DC8" w14:textId="77777777" w:rsidR="002225D7" w:rsidRDefault="002225D7" w:rsidP="000A00ED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6740A5BE" w14:textId="77777777" w:rsidR="00FD74D9" w:rsidRDefault="002225D7" w:rsidP="00FD74D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00ED">
        <w:rPr>
          <w:rFonts w:ascii="Arial" w:hAnsi="Arial" w:cs="Arial"/>
          <w:sz w:val="22"/>
          <w:szCs w:val="22"/>
        </w:rPr>
        <w:t xml:space="preserve">For all crops except for wheat, corn, grain sorghum, barley, and oats, NASS-based </w:t>
      </w:r>
      <w:r w:rsidR="000A00ED">
        <w:rPr>
          <w:rFonts w:ascii="Arial" w:hAnsi="Arial" w:cs="Arial"/>
          <w:sz w:val="22"/>
          <w:szCs w:val="22"/>
        </w:rPr>
        <w:t xml:space="preserve">planted-acre </w:t>
      </w:r>
      <w:r w:rsidRPr="000A00ED">
        <w:rPr>
          <w:rFonts w:ascii="Arial" w:hAnsi="Arial" w:cs="Arial"/>
          <w:sz w:val="22"/>
          <w:szCs w:val="22"/>
        </w:rPr>
        <w:t xml:space="preserve">yields </w:t>
      </w:r>
      <w:r w:rsidR="000A00ED">
        <w:rPr>
          <w:rFonts w:ascii="Arial" w:hAnsi="Arial" w:cs="Arial"/>
          <w:sz w:val="22"/>
          <w:szCs w:val="22"/>
        </w:rPr>
        <w:t xml:space="preserve">for ARC-CO purposes </w:t>
      </w:r>
      <w:r w:rsidRPr="000A00ED">
        <w:rPr>
          <w:rFonts w:ascii="Arial" w:hAnsi="Arial" w:cs="Arial"/>
          <w:sz w:val="22"/>
          <w:szCs w:val="22"/>
        </w:rPr>
        <w:t xml:space="preserve">are computed by dividing NASS </w:t>
      </w:r>
      <w:r w:rsidR="0083229D">
        <w:rPr>
          <w:rFonts w:ascii="Arial" w:hAnsi="Arial" w:cs="Arial"/>
          <w:sz w:val="22"/>
          <w:szCs w:val="22"/>
        </w:rPr>
        <w:t xml:space="preserve">planted acres into </w:t>
      </w:r>
      <w:r w:rsidRPr="000A00ED">
        <w:rPr>
          <w:rFonts w:ascii="Arial" w:hAnsi="Arial" w:cs="Arial"/>
          <w:sz w:val="22"/>
          <w:szCs w:val="22"/>
        </w:rPr>
        <w:t>NASS p</w:t>
      </w:r>
      <w:r w:rsidR="0083229D">
        <w:rPr>
          <w:rFonts w:ascii="Arial" w:hAnsi="Arial" w:cs="Arial"/>
          <w:sz w:val="22"/>
          <w:szCs w:val="22"/>
        </w:rPr>
        <w:t>roduction</w:t>
      </w:r>
      <w:r w:rsidRPr="000A00ED">
        <w:rPr>
          <w:rFonts w:ascii="Arial" w:hAnsi="Arial" w:cs="Arial"/>
          <w:sz w:val="22"/>
          <w:szCs w:val="22"/>
        </w:rPr>
        <w:t xml:space="preserve">. </w:t>
      </w:r>
    </w:p>
    <w:p w14:paraId="03DAD0D9" w14:textId="77777777" w:rsidR="00FD74D9" w:rsidRPr="00FD74D9" w:rsidRDefault="00FD74D9" w:rsidP="00FD74D9">
      <w:pPr>
        <w:pStyle w:val="ListParagraph"/>
        <w:rPr>
          <w:rFonts w:ascii="Arial" w:hAnsi="Arial" w:cs="Arial"/>
          <w:sz w:val="22"/>
          <w:szCs w:val="22"/>
        </w:rPr>
      </w:pPr>
    </w:p>
    <w:p w14:paraId="239B6607" w14:textId="362350AD" w:rsidR="000A00ED" w:rsidRPr="00FD74D9" w:rsidRDefault="00FD74D9" w:rsidP="00FD74D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D74D9">
        <w:rPr>
          <w:rFonts w:ascii="Arial" w:hAnsi="Arial" w:cs="Arial"/>
          <w:sz w:val="22"/>
          <w:szCs w:val="22"/>
        </w:rPr>
        <w:t>F</w:t>
      </w:r>
      <w:r w:rsidR="002225D7" w:rsidRPr="00FD74D9">
        <w:rPr>
          <w:rFonts w:ascii="Arial" w:hAnsi="Arial" w:cs="Arial"/>
          <w:sz w:val="22"/>
          <w:szCs w:val="22"/>
        </w:rPr>
        <w:t xml:space="preserve">or wheat, corn, </w:t>
      </w:r>
      <w:r w:rsidR="002643C0" w:rsidRPr="00FD74D9">
        <w:rPr>
          <w:rFonts w:ascii="Arial" w:hAnsi="Arial" w:cs="Arial"/>
          <w:sz w:val="22"/>
          <w:szCs w:val="22"/>
        </w:rPr>
        <w:t>grain sorghum, barley, and oats</w:t>
      </w:r>
      <w:r w:rsidR="002225D7" w:rsidRPr="00FD74D9">
        <w:rPr>
          <w:rFonts w:ascii="Arial" w:hAnsi="Arial" w:cs="Arial"/>
          <w:sz w:val="22"/>
          <w:szCs w:val="22"/>
        </w:rPr>
        <w:t>,</w:t>
      </w:r>
      <w:r w:rsidR="000A00ED" w:rsidRPr="00FD74D9">
        <w:rPr>
          <w:rFonts w:ascii="Arial" w:hAnsi="Arial" w:cs="Arial"/>
          <w:sz w:val="22"/>
          <w:szCs w:val="22"/>
        </w:rPr>
        <w:t xml:space="preserve"> the calculation is modified to exclude the acreage of these crops intended for harvest other than </w:t>
      </w:r>
      <w:r w:rsidR="002643C0" w:rsidRPr="00FD74D9">
        <w:rPr>
          <w:rFonts w:ascii="Arial" w:hAnsi="Arial" w:cs="Arial"/>
          <w:sz w:val="22"/>
          <w:szCs w:val="22"/>
        </w:rPr>
        <w:t>for</w:t>
      </w:r>
      <w:r w:rsidR="000A00ED" w:rsidRPr="00FD74D9">
        <w:rPr>
          <w:rFonts w:ascii="Arial" w:hAnsi="Arial" w:cs="Arial"/>
          <w:sz w:val="22"/>
          <w:szCs w:val="22"/>
        </w:rPr>
        <w:t xml:space="preserve"> grain, such as for haying, grazing or for silage. The ARC-CO yield formula for these crops </w:t>
      </w:r>
      <w:r w:rsidR="002643C0" w:rsidRPr="00FD74D9">
        <w:rPr>
          <w:rFonts w:ascii="Arial" w:hAnsi="Arial" w:cs="Arial"/>
          <w:sz w:val="22"/>
          <w:szCs w:val="22"/>
        </w:rPr>
        <w:t>divides</w:t>
      </w:r>
      <w:r w:rsidR="000A00ED" w:rsidRPr="00FD74D9">
        <w:rPr>
          <w:rFonts w:ascii="Arial" w:hAnsi="Arial" w:cs="Arial"/>
          <w:sz w:val="22"/>
          <w:szCs w:val="22"/>
        </w:rPr>
        <w:t xml:space="preserve"> NASS harvested acres plus RMA unharvested acres </w:t>
      </w:r>
      <w:r w:rsidR="002643C0" w:rsidRPr="00FD74D9">
        <w:rPr>
          <w:rFonts w:ascii="Arial" w:hAnsi="Arial" w:cs="Arial"/>
          <w:sz w:val="22"/>
          <w:szCs w:val="22"/>
        </w:rPr>
        <w:t>into NASS production</w:t>
      </w:r>
      <w:r w:rsidR="000A00ED" w:rsidRPr="00FD74D9">
        <w:rPr>
          <w:rFonts w:ascii="Arial" w:hAnsi="Arial" w:cs="Arial"/>
          <w:sz w:val="22"/>
          <w:szCs w:val="22"/>
        </w:rPr>
        <w:t>.</w:t>
      </w:r>
    </w:p>
    <w:p w14:paraId="1BA5E240" w14:textId="77777777" w:rsidR="00FD1E1B" w:rsidRPr="00FD1E1B" w:rsidRDefault="00FD1E1B" w:rsidP="00FD1E1B">
      <w:pPr>
        <w:pStyle w:val="ListParagraph"/>
        <w:rPr>
          <w:rFonts w:ascii="Arial" w:hAnsi="Arial" w:cs="Arial"/>
          <w:sz w:val="22"/>
          <w:szCs w:val="22"/>
        </w:rPr>
      </w:pPr>
    </w:p>
    <w:p w14:paraId="45E58492" w14:textId="77777777" w:rsidR="00FD1E1B" w:rsidRPr="000A00ED" w:rsidRDefault="00FD1E1B" w:rsidP="000A00E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County-average RMA yields are computed by</w:t>
      </w:r>
      <w:r w:rsidR="00806A06">
        <w:rPr>
          <w:rFonts w:ascii="Arial" w:hAnsi="Arial" w:cs="Arial"/>
          <w:sz w:val="22"/>
          <w:szCs w:val="22"/>
        </w:rPr>
        <w:t xml:space="preserve"> dividing RMA planted acres into RMA production, using a file provided every summer by RMA using the criteria below. Published county-level data on the RMA website may not match data in the ARC-CO yield file due to FSA’s use of the criteria below and due to timing issues.</w:t>
      </w:r>
    </w:p>
    <w:p w14:paraId="111BAE48" w14:textId="77777777" w:rsidR="002225D7" w:rsidRDefault="002225D7" w:rsidP="000A00ED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6DF9C071" w14:textId="77777777" w:rsidR="00BF5123" w:rsidRPr="000A00ED" w:rsidRDefault="00BF5123" w:rsidP="00332136">
      <w:pPr>
        <w:pStyle w:val="ListParagraph"/>
        <w:numPr>
          <w:ilvl w:val="0"/>
          <w:numId w:val="1"/>
        </w:numPr>
        <w:ind w:left="1530"/>
        <w:rPr>
          <w:rFonts w:ascii="Arial" w:hAnsi="Arial" w:cs="Arial"/>
          <w:sz w:val="22"/>
          <w:szCs w:val="22"/>
        </w:rPr>
      </w:pPr>
      <w:r w:rsidRPr="000A00ED">
        <w:rPr>
          <w:rFonts w:ascii="Arial" w:hAnsi="Arial" w:cs="Arial"/>
          <w:sz w:val="22"/>
          <w:szCs w:val="22"/>
        </w:rPr>
        <w:t>T</w:t>
      </w:r>
      <w:r w:rsidR="00656D0D" w:rsidRPr="000A00ED">
        <w:rPr>
          <w:rFonts w:ascii="Arial" w:hAnsi="Arial" w:cs="Arial"/>
          <w:sz w:val="22"/>
          <w:szCs w:val="22"/>
        </w:rPr>
        <w:t xml:space="preserve">he </w:t>
      </w:r>
      <w:r w:rsidRPr="000A00ED">
        <w:rPr>
          <w:rFonts w:ascii="Arial" w:hAnsi="Arial" w:cs="Arial"/>
          <w:sz w:val="22"/>
          <w:szCs w:val="22"/>
        </w:rPr>
        <w:t xml:space="preserve">following criteria apply to use of </w:t>
      </w:r>
      <w:r w:rsidR="00656D0D" w:rsidRPr="000A00ED">
        <w:rPr>
          <w:rFonts w:ascii="Arial" w:hAnsi="Arial" w:cs="Arial"/>
          <w:sz w:val="22"/>
          <w:szCs w:val="22"/>
        </w:rPr>
        <w:t>NASS and RMA data</w:t>
      </w:r>
      <w:r w:rsidR="001F1E53" w:rsidRPr="000A00ED">
        <w:rPr>
          <w:rFonts w:ascii="Arial" w:hAnsi="Arial" w:cs="Arial"/>
          <w:sz w:val="22"/>
          <w:szCs w:val="22"/>
        </w:rPr>
        <w:t xml:space="preserve"> in the ARC-CO calculations</w:t>
      </w:r>
      <w:r w:rsidRPr="000A00ED">
        <w:rPr>
          <w:rFonts w:ascii="Arial" w:hAnsi="Arial" w:cs="Arial"/>
          <w:sz w:val="22"/>
          <w:szCs w:val="22"/>
        </w:rPr>
        <w:t>:</w:t>
      </w:r>
    </w:p>
    <w:p w14:paraId="2158A969" w14:textId="77777777" w:rsidR="009B5294" w:rsidRPr="00F32EC6" w:rsidRDefault="002E219F" w:rsidP="00332136">
      <w:pPr>
        <w:numPr>
          <w:ilvl w:val="2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sz w:val="22"/>
          <w:szCs w:val="22"/>
        </w:rPr>
        <w:t>1</w:t>
      </w:r>
      <w:r w:rsidRPr="00F32EC6">
        <w:rPr>
          <w:rFonts w:ascii="Arial" w:hAnsi="Arial" w:cs="Arial"/>
          <w:sz w:val="22"/>
          <w:szCs w:val="22"/>
          <w:vertAlign w:val="superscript"/>
        </w:rPr>
        <w:t>st</w:t>
      </w:r>
      <w:r w:rsidRPr="00F32EC6">
        <w:rPr>
          <w:rFonts w:ascii="Arial" w:hAnsi="Arial" w:cs="Arial"/>
          <w:sz w:val="22"/>
          <w:szCs w:val="22"/>
        </w:rPr>
        <w:t xml:space="preserve"> choice: NASS county data</w:t>
      </w:r>
    </w:p>
    <w:p w14:paraId="6167EC72" w14:textId="1DE966F6" w:rsidR="009B5294" w:rsidRPr="00F32EC6" w:rsidRDefault="002E219F" w:rsidP="00332136">
      <w:pPr>
        <w:pStyle w:val="ListParagraph"/>
        <w:numPr>
          <w:ilvl w:val="3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sz w:val="22"/>
          <w:szCs w:val="22"/>
        </w:rPr>
        <w:t>Criteria</w:t>
      </w:r>
      <w:r w:rsidR="00BF5123" w:rsidRPr="00F32EC6">
        <w:rPr>
          <w:rFonts w:ascii="Arial" w:hAnsi="Arial" w:cs="Arial"/>
          <w:sz w:val="22"/>
          <w:szCs w:val="22"/>
        </w:rPr>
        <w:t xml:space="preserve"> to provide data for a county</w:t>
      </w:r>
      <w:r w:rsidRPr="00F32EC6">
        <w:rPr>
          <w:rFonts w:ascii="Arial" w:hAnsi="Arial" w:cs="Arial"/>
          <w:sz w:val="22"/>
          <w:szCs w:val="22"/>
        </w:rPr>
        <w:t>: At least 30 yield observations, or reports containing</w:t>
      </w:r>
      <w:r w:rsidR="009E3726">
        <w:rPr>
          <w:rFonts w:ascii="Arial" w:hAnsi="Arial" w:cs="Arial"/>
          <w:sz w:val="22"/>
          <w:szCs w:val="22"/>
        </w:rPr>
        <w:t xml:space="preserve"> positive yields account for 25 percent</w:t>
      </w:r>
      <w:r w:rsidRPr="00F32EC6">
        <w:rPr>
          <w:rFonts w:ascii="Arial" w:hAnsi="Arial" w:cs="Arial"/>
          <w:sz w:val="22"/>
          <w:szCs w:val="22"/>
        </w:rPr>
        <w:t xml:space="preserve"> or more of harvested acres in the county.</w:t>
      </w:r>
    </w:p>
    <w:p w14:paraId="6AE6C04E" w14:textId="77777777" w:rsidR="009B5294" w:rsidRPr="00F32EC6" w:rsidRDefault="002E219F" w:rsidP="00332136">
      <w:pPr>
        <w:numPr>
          <w:ilvl w:val="2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sz w:val="22"/>
          <w:szCs w:val="22"/>
        </w:rPr>
        <w:t>2</w:t>
      </w:r>
      <w:r w:rsidRPr="00F32EC6">
        <w:rPr>
          <w:rFonts w:ascii="Arial" w:hAnsi="Arial" w:cs="Arial"/>
          <w:sz w:val="22"/>
          <w:szCs w:val="22"/>
          <w:vertAlign w:val="superscript"/>
        </w:rPr>
        <w:t>nd</w:t>
      </w:r>
      <w:r w:rsidRPr="00F32EC6">
        <w:rPr>
          <w:rFonts w:ascii="Arial" w:hAnsi="Arial" w:cs="Arial"/>
          <w:sz w:val="22"/>
          <w:szCs w:val="22"/>
        </w:rPr>
        <w:t xml:space="preserve"> choice: RMA county data</w:t>
      </w:r>
    </w:p>
    <w:p w14:paraId="316C69F2" w14:textId="400EDFC4" w:rsidR="009B5294" w:rsidRDefault="002E219F" w:rsidP="00332136">
      <w:pPr>
        <w:numPr>
          <w:ilvl w:val="3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F32EC6">
        <w:rPr>
          <w:rFonts w:ascii="Arial" w:hAnsi="Arial" w:cs="Arial"/>
          <w:sz w:val="22"/>
          <w:szCs w:val="22"/>
        </w:rPr>
        <w:t>Criteria</w:t>
      </w:r>
      <w:r w:rsidR="00BF5123" w:rsidRPr="00F32EC6">
        <w:rPr>
          <w:rFonts w:ascii="Arial" w:hAnsi="Arial" w:cs="Arial"/>
          <w:sz w:val="22"/>
          <w:szCs w:val="22"/>
        </w:rPr>
        <w:t xml:space="preserve"> to provide data for a county</w:t>
      </w:r>
      <w:r w:rsidRPr="00F32EC6">
        <w:rPr>
          <w:rFonts w:ascii="Arial" w:hAnsi="Arial" w:cs="Arial"/>
          <w:sz w:val="22"/>
          <w:szCs w:val="22"/>
        </w:rPr>
        <w:t>: At least 5 yield observations and those observ</w:t>
      </w:r>
      <w:r w:rsidR="009E3726">
        <w:rPr>
          <w:rFonts w:ascii="Arial" w:hAnsi="Arial" w:cs="Arial"/>
          <w:sz w:val="22"/>
          <w:szCs w:val="22"/>
        </w:rPr>
        <w:t>ations account for more than 25 percent</w:t>
      </w:r>
      <w:r w:rsidRPr="00F32EC6">
        <w:rPr>
          <w:rFonts w:ascii="Arial" w:hAnsi="Arial" w:cs="Arial"/>
          <w:sz w:val="22"/>
          <w:szCs w:val="22"/>
        </w:rPr>
        <w:t xml:space="preserve"> of FSA reported acreage in the county.</w:t>
      </w:r>
    </w:p>
    <w:p w14:paraId="27293B43" w14:textId="77777777" w:rsidR="000A00ED" w:rsidRPr="000A00ED" w:rsidRDefault="000A00ED" w:rsidP="000A00ED">
      <w:pPr>
        <w:pStyle w:val="ListParagraph"/>
        <w:ind w:left="36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D344B7" w14:textId="2A6B4807" w:rsidR="001B473B" w:rsidRPr="001B473B" w:rsidRDefault="00C81ED5" w:rsidP="001B473B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those counties in which payments were made in 2014 and 2015, </w:t>
      </w:r>
      <w:r w:rsidR="001B473B" w:rsidRPr="001B473B">
        <w:rPr>
          <w:rFonts w:ascii="Arial" w:hAnsi="Arial" w:cs="Arial"/>
          <w:color w:val="000000"/>
          <w:sz w:val="22"/>
          <w:szCs w:val="22"/>
        </w:rPr>
        <w:t>NASS and RMA yield data co</w:t>
      </w:r>
      <w:r w:rsidR="002225D7">
        <w:rPr>
          <w:rFonts w:ascii="Arial" w:hAnsi="Arial" w:cs="Arial"/>
          <w:color w:val="000000"/>
          <w:sz w:val="22"/>
          <w:szCs w:val="22"/>
        </w:rPr>
        <w:t>ver</w:t>
      </w:r>
      <w:r w:rsidR="001B473B" w:rsidRPr="001B473B">
        <w:rPr>
          <w:rFonts w:ascii="Arial" w:hAnsi="Arial" w:cs="Arial"/>
          <w:color w:val="000000"/>
          <w:sz w:val="22"/>
          <w:szCs w:val="22"/>
        </w:rPr>
        <w:t xml:space="preserve"> approximately 90 percent of the base acres. The remaining 10 percent of base acres use data compiled by State Committees.    </w:t>
      </w:r>
    </w:p>
    <w:p w14:paraId="0B001659" w14:textId="77777777" w:rsidR="001B473B" w:rsidRPr="001B473B" w:rsidRDefault="001B473B" w:rsidP="001B473B">
      <w:pPr>
        <w:pStyle w:val="ListParagraph"/>
        <w:ind w:left="36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D65FD2C" w14:textId="77777777" w:rsidR="00A62E02" w:rsidRPr="00A62E02" w:rsidRDefault="00A62E02" w:rsidP="00A62E02">
      <w:pPr>
        <w:contextualSpacing/>
        <w:rPr>
          <w:rFonts w:ascii="Arial" w:hAnsi="Arial" w:cs="Arial"/>
          <w:b/>
          <w:sz w:val="22"/>
          <w:szCs w:val="22"/>
        </w:rPr>
      </w:pPr>
      <w:r w:rsidRPr="00A62E02">
        <w:rPr>
          <w:rFonts w:ascii="Arial" w:hAnsi="Arial" w:cs="Arial"/>
          <w:b/>
          <w:sz w:val="22"/>
          <w:szCs w:val="22"/>
        </w:rPr>
        <w:t xml:space="preserve">How to Use the Detailed County </w:t>
      </w:r>
      <w:r w:rsidR="00052BAC">
        <w:rPr>
          <w:rFonts w:ascii="Arial" w:hAnsi="Arial" w:cs="Arial"/>
          <w:b/>
          <w:sz w:val="22"/>
          <w:szCs w:val="22"/>
        </w:rPr>
        <w:t xml:space="preserve">Yield </w:t>
      </w:r>
      <w:r w:rsidRPr="00A62E02">
        <w:rPr>
          <w:rFonts w:ascii="Arial" w:hAnsi="Arial" w:cs="Arial"/>
          <w:b/>
          <w:sz w:val="22"/>
          <w:szCs w:val="22"/>
        </w:rPr>
        <w:t xml:space="preserve">File:  </w:t>
      </w:r>
    </w:p>
    <w:p w14:paraId="6CAE343C" w14:textId="77777777" w:rsidR="00656D0D" w:rsidRPr="00F32EC6" w:rsidRDefault="00656D0D" w:rsidP="00656D0D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549BC46" w14:textId="77777777" w:rsidR="00332136" w:rsidRPr="00332136" w:rsidRDefault="00052BAC" w:rsidP="008335F4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</w:rPr>
      </w:pPr>
      <w:r w:rsidRPr="00052BAC">
        <w:rPr>
          <w:rFonts w:ascii="Arial" w:hAnsi="Arial" w:cs="Arial"/>
          <w:sz w:val="22"/>
          <w:szCs w:val="22"/>
        </w:rPr>
        <w:t>The detailed county yield file has three components for each crop</w:t>
      </w:r>
      <w:r w:rsidR="00806A06">
        <w:rPr>
          <w:rFonts w:ascii="Arial" w:hAnsi="Arial" w:cs="Arial"/>
          <w:sz w:val="22"/>
          <w:szCs w:val="22"/>
        </w:rPr>
        <w:t>,</w:t>
      </w:r>
      <w:r w:rsidRPr="00052BAC">
        <w:rPr>
          <w:rFonts w:ascii="Arial" w:hAnsi="Arial" w:cs="Arial"/>
          <w:sz w:val="22"/>
          <w:szCs w:val="22"/>
        </w:rPr>
        <w:t xml:space="preserve"> county</w:t>
      </w:r>
      <w:r w:rsidR="00806A06">
        <w:rPr>
          <w:rFonts w:ascii="Arial" w:hAnsi="Arial" w:cs="Arial"/>
          <w:sz w:val="22"/>
          <w:szCs w:val="22"/>
        </w:rPr>
        <w:t>, and crop year</w:t>
      </w:r>
      <w:r w:rsidRPr="00052BAC">
        <w:rPr>
          <w:rFonts w:ascii="Arial" w:hAnsi="Arial" w:cs="Arial"/>
          <w:sz w:val="22"/>
          <w:szCs w:val="22"/>
        </w:rPr>
        <w:t xml:space="preserve">:  </w:t>
      </w:r>
    </w:p>
    <w:p w14:paraId="4C23676A" w14:textId="77777777" w:rsidR="00332136" w:rsidRPr="00332136" w:rsidRDefault="00052BAC" w:rsidP="00332136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052BAC">
        <w:rPr>
          <w:rFonts w:ascii="Arial" w:hAnsi="Arial" w:cs="Arial"/>
          <w:sz w:val="22"/>
          <w:szCs w:val="22"/>
        </w:rPr>
        <w:t xml:space="preserve">NASS yields; </w:t>
      </w:r>
    </w:p>
    <w:p w14:paraId="7B40DEE6" w14:textId="77777777" w:rsidR="00332136" w:rsidRPr="00332136" w:rsidRDefault="00052BAC" w:rsidP="00332136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052BAC">
        <w:rPr>
          <w:rFonts w:ascii="Arial" w:hAnsi="Arial" w:cs="Arial"/>
          <w:sz w:val="22"/>
          <w:szCs w:val="22"/>
        </w:rPr>
        <w:t>RM</w:t>
      </w:r>
      <w:r>
        <w:rPr>
          <w:rFonts w:ascii="Arial" w:hAnsi="Arial" w:cs="Arial"/>
          <w:sz w:val="22"/>
          <w:szCs w:val="22"/>
        </w:rPr>
        <w:t xml:space="preserve">A yields; and </w:t>
      </w:r>
    </w:p>
    <w:p w14:paraId="4729F916" w14:textId="02B418D1" w:rsidR="00332136" w:rsidRPr="00332136" w:rsidRDefault="00806A06" w:rsidP="00332136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70 percent of the </w:t>
      </w:r>
      <w:r w:rsidR="00052BAC">
        <w:rPr>
          <w:rFonts w:ascii="Arial" w:hAnsi="Arial" w:cs="Arial"/>
          <w:sz w:val="22"/>
          <w:szCs w:val="22"/>
        </w:rPr>
        <w:t xml:space="preserve">t-yield. </w:t>
      </w:r>
    </w:p>
    <w:p w14:paraId="7216C4ED" w14:textId="272793B2" w:rsidR="00052BAC" w:rsidRPr="00332136" w:rsidRDefault="00052BAC" w:rsidP="00332136">
      <w:pPr>
        <w:ind w:left="360"/>
        <w:contextualSpacing/>
        <w:rPr>
          <w:rFonts w:ascii="Arial" w:hAnsi="Arial" w:cs="Arial"/>
          <w:color w:val="000000"/>
        </w:rPr>
      </w:pPr>
      <w:r w:rsidRPr="00332136">
        <w:rPr>
          <w:rFonts w:ascii="Arial" w:hAnsi="Arial" w:cs="Arial"/>
          <w:sz w:val="22"/>
          <w:szCs w:val="22"/>
        </w:rPr>
        <w:t>For any given year, the “NASS-first” yield cascade described above is used</w:t>
      </w:r>
      <w:r w:rsidR="00806A06" w:rsidRPr="00332136">
        <w:rPr>
          <w:rFonts w:ascii="Arial" w:hAnsi="Arial" w:cs="Arial"/>
          <w:sz w:val="22"/>
          <w:szCs w:val="22"/>
        </w:rPr>
        <w:t>. For the annual yields used for the benchmark yield calculations, 70 percent of the t-yield is substituted if the NASS (or RMA) yield is below 70 percent of the t-yield.</w:t>
      </w:r>
      <w:r w:rsidR="00FD1E1B" w:rsidRPr="00332136">
        <w:rPr>
          <w:rFonts w:ascii="Arial" w:hAnsi="Arial" w:cs="Arial"/>
          <w:sz w:val="22"/>
          <w:szCs w:val="22"/>
        </w:rPr>
        <w:t xml:space="preserve"> T-yields are not used in any way in the actual yield calculation.</w:t>
      </w:r>
    </w:p>
    <w:p w14:paraId="6E8D9DEC" w14:textId="77777777" w:rsidR="00FD1E1B" w:rsidRPr="00FD1E1B" w:rsidRDefault="00FD1E1B" w:rsidP="00FD1E1B">
      <w:pPr>
        <w:pStyle w:val="ListParagraph"/>
        <w:ind w:left="360"/>
        <w:contextualSpacing/>
        <w:rPr>
          <w:rFonts w:ascii="Arial" w:hAnsi="Arial" w:cs="Arial"/>
          <w:color w:val="000000"/>
        </w:rPr>
      </w:pPr>
    </w:p>
    <w:p w14:paraId="49F0613E" w14:textId="77777777" w:rsidR="00FD1E1B" w:rsidRPr="00FD1E1B" w:rsidRDefault="00FD1E1B" w:rsidP="00FD1E1B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FD1E1B">
        <w:rPr>
          <w:rFonts w:ascii="Arial" w:hAnsi="Arial" w:cs="Arial"/>
          <w:color w:val="000000"/>
          <w:sz w:val="22"/>
          <w:szCs w:val="22"/>
        </w:rPr>
        <w:t>The yields in this file are used to calculate ARC-CO payment rates found in the “ARC-CO yields, revenues, and payment rates” files located at:  https://www.fsa.usda.gov/programs-and-services/arcplc_program/arcplc-program-data/index.</w:t>
      </w:r>
    </w:p>
    <w:p w14:paraId="25CF60C4" w14:textId="77777777" w:rsidR="00656D0D" w:rsidRPr="00052BAC" w:rsidRDefault="00052BAC" w:rsidP="00052BAC">
      <w:pPr>
        <w:pStyle w:val="ListParagraph"/>
        <w:ind w:left="360"/>
        <w:contextualSpacing/>
        <w:rPr>
          <w:rFonts w:ascii="Arial" w:hAnsi="Arial" w:cs="Arial"/>
          <w:color w:val="000000"/>
        </w:rPr>
      </w:pPr>
      <w:r w:rsidRPr="00052BAC">
        <w:rPr>
          <w:rFonts w:ascii="Arial" w:hAnsi="Arial" w:cs="Arial"/>
          <w:sz w:val="22"/>
          <w:szCs w:val="22"/>
        </w:rPr>
        <w:t xml:space="preserve"> </w:t>
      </w:r>
    </w:p>
    <w:p w14:paraId="1FBFFF7E" w14:textId="77777777" w:rsidR="001B473B" w:rsidRPr="00A62E02" w:rsidRDefault="007C7BE3" w:rsidP="001B473B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county yield file can be used to </w:t>
      </w:r>
      <w:r w:rsidR="00086F63">
        <w:rPr>
          <w:rFonts w:ascii="Arial" w:hAnsi="Arial" w:cs="Arial"/>
          <w:sz w:val="22"/>
          <w:szCs w:val="22"/>
        </w:rPr>
        <w:t xml:space="preserve">analyze the implications of changing FSA’s cascade approach and to </w:t>
      </w:r>
      <w:r>
        <w:rPr>
          <w:rFonts w:ascii="Arial" w:hAnsi="Arial" w:cs="Arial"/>
          <w:sz w:val="22"/>
          <w:szCs w:val="22"/>
        </w:rPr>
        <w:t xml:space="preserve">analyze the data sources used by FSA in ARC-CO calculations.  </w:t>
      </w:r>
      <w:r w:rsidR="001B473B">
        <w:rPr>
          <w:rFonts w:ascii="Arial" w:hAnsi="Arial" w:cs="Arial"/>
          <w:sz w:val="22"/>
          <w:szCs w:val="22"/>
        </w:rPr>
        <w:t>As an example</w:t>
      </w:r>
      <w:r w:rsidR="00086F63">
        <w:rPr>
          <w:rFonts w:ascii="Arial" w:hAnsi="Arial" w:cs="Arial"/>
          <w:sz w:val="22"/>
          <w:szCs w:val="22"/>
        </w:rPr>
        <w:t xml:space="preserve"> of the latter</w:t>
      </w:r>
      <w:r w:rsidR="001B473B">
        <w:rPr>
          <w:rFonts w:ascii="Arial" w:hAnsi="Arial" w:cs="Arial"/>
          <w:sz w:val="22"/>
          <w:szCs w:val="22"/>
        </w:rPr>
        <w:t xml:space="preserve">, </w:t>
      </w:r>
      <w:r w:rsidR="00086F63">
        <w:rPr>
          <w:rFonts w:ascii="Arial" w:hAnsi="Arial" w:cs="Arial"/>
          <w:sz w:val="22"/>
          <w:szCs w:val="22"/>
        </w:rPr>
        <w:t xml:space="preserve">the </w:t>
      </w:r>
      <w:r w:rsidR="001B473B">
        <w:rPr>
          <w:rFonts w:ascii="Arial" w:hAnsi="Arial" w:cs="Arial"/>
          <w:sz w:val="22"/>
          <w:szCs w:val="22"/>
        </w:rPr>
        <w:t>d</w:t>
      </w:r>
      <w:r w:rsidR="001B473B" w:rsidRPr="00A62E02">
        <w:rPr>
          <w:rFonts w:ascii="Arial" w:hAnsi="Arial" w:cs="Arial"/>
          <w:sz w:val="22"/>
          <w:szCs w:val="22"/>
        </w:rPr>
        <w:t xml:space="preserve">ata sources </w:t>
      </w:r>
      <w:r>
        <w:rPr>
          <w:rFonts w:ascii="Arial" w:hAnsi="Arial" w:cs="Arial"/>
          <w:sz w:val="22"/>
          <w:szCs w:val="22"/>
        </w:rPr>
        <w:t xml:space="preserve">used in the  </w:t>
      </w:r>
      <w:r w:rsidR="001B473B" w:rsidRPr="00A62E02">
        <w:rPr>
          <w:rFonts w:ascii="Arial" w:hAnsi="Arial" w:cs="Arial"/>
          <w:sz w:val="22"/>
          <w:szCs w:val="22"/>
        </w:rPr>
        <w:t>2014- and 2015-crop corn ARC-CO calculation</w:t>
      </w:r>
      <w:r w:rsidR="001B473B">
        <w:rPr>
          <w:rFonts w:ascii="Arial" w:hAnsi="Arial" w:cs="Arial"/>
          <w:sz w:val="22"/>
          <w:szCs w:val="22"/>
        </w:rPr>
        <w:t>s</w:t>
      </w:r>
      <w:r w:rsidR="001B473B" w:rsidRPr="00A62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composed of:  </w:t>
      </w:r>
    </w:p>
    <w:p w14:paraId="23B958C5" w14:textId="77777777" w:rsidR="001B473B" w:rsidRPr="00A62E02" w:rsidRDefault="001B473B" w:rsidP="001B473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A62E02">
        <w:rPr>
          <w:rFonts w:ascii="Arial" w:hAnsi="Arial" w:cs="Arial"/>
          <w:sz w:val="22"/>
          <w:szCs w:val="22"/>
        </w:rPr>
        <w:t>Counties using NASS data exclusively: 33 percent.</w:t>
      </w:r>
    </w:p>
    <w:p w14:paraId="188F48CC" w14:textId="77777777" w:rsidR="001B473B" w:rsidRPr="00A62E02" w:rsidRDefault="001B473B" w:rsidP="001B473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A62E02">
        <w:rPr>
          <w:rFonts w:ascii="Arial" w:hAnsi="Arial" w:cs="Arial"/>
          <w:sz w:val="22"/>
          <w:szCs w:val="22"/>
        </w:rPr>
        <w:t>Counties using RMA data exclusively (where no NASS data are available): 7 percent.</w:t>
      </w:r>
    </w:p>
    <w:p w14:paraId="4BE87BAC" w14:textId="77777777" w:rsidR="001B473B" w:rsidRPr="00A62E02" w:rsidRDefault="001B473B" w:rsidP="001B473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A62E02">
        <w:rPr>
          <w:rFonts w:ascii="Arial" w:hAnsi="Arial" w:cs="Arial"/>
          <w:sz w:val="22"/>
          <w:szCs w:val="22"/>
        </w:rPr>
        <w:t>Counties using a mix of NASS and RMA data: 35 percent.</w:t>
      </w:r>
    </w:p>
    <w:p w14:paraId="30DD4CDA" w14:textId="77777777" w:rsidR="001B473B" w:rsidRDefault="001B473B" w:rsidP="001B473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A62E02">
        <w:rPr>
          <w:rFonts w:ascii="Arial" w:hAnsi="Arial" w:cs="Arial"/>
          <w:sz w:val="22"/>
          <w:szCs w:val="22"/>
        </w:rPr>
        <w:t>All, or some, yields determined by the FSA State office: 25 percent (most of these are marginal growing areas with little base).</w:t>
      </w:r>
    </w:p>
    <w:p w14:paraId="090B4989" w14:textId="2956B35D" w:rsidR="001B473B" w:rsidRDefault="00086F63" w:rsidP="001B47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These percentage</w:t>
      </w:r>
      <w:r w:rsidR="005952D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327472">
        <w:rPr>
          <w:rFonts w:ascii="Arial" w:hAnsi="Arial" w:cs="Arial"/>
          <w:sz w:val="22"/>
          <w:szCs w:val="22"/>
        </w:rPr>
        <w:t>encompass</w:t>
      </w:r>
      <w:r w:rsidR="007C7BE3" w:rsidRPr="00A62E02">
        <w:rPr>
          <w:rFonts w:ascii="Arial" w:hAnsi="Arial" w:cs="Arial"/>
          <w:sz w:val="22"/>
          <w:szCs w:val="22"/>
        </w:rPr>
        <w:t xml:space="preserve"> 2009-15 </w:t>
      </w:r>
      <w:r w:rsidR="00327472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used for b</w:t>
      </w:r>
      <w:r w:rsidR="007C7BE3">
        <w:rPr>
          <w:rFonts w:ascii="Arial" w:hAnsi="Arial" w:cs="Arial"/>
          <w:sz w:val="22"/>
          <w:szCs w:val="22"/>
        </w:rPr>
        <w:t>oth benchmark and actual yields</w:t>
      </w:r>
      <w:r>
        <w:rPr>
          <w:rFonts w:ascii="Arial" w:hAnsi="Arial" w:cs="Arial"/>
          <w:sz w:val="22"/>
          <w:szCs w:val="22"/>
        </w:rPr>
        <w:t xml:space="preserve">.  </w:t>
      </w:r>
    </w:p>
    <w:sectPr w:rsidR="001B47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72AD" w14:textId="77777777" w:rsidR="00FD74D9" w:rsidRDefault="00FD74D9" w:rsidP="00FD74D9">
      <w:r>
        <w:separator/>
      </w:r>
    </w:p>
  </w:endnote>
  <w:endnote w:type="continuationSeparator" w:id="0">
    <w:p w14:paraId="3898333A" w14:textId="77777777" w:rsidR="00FD74D9" w:rsidRDefault="00FD74D9" w:rsidP="00FD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4BD5D" w14:textId="77777777" w:rsidR="00FD74D9" w:rsidRDefault="00FD74D9" w:rsidP="00FD74D9">
      <w:r>
        <w:separator/>
      </w:r>
    </w:p>
  </w:footnote>
  <w:footnote w:type="continuationSeparator" w:id="0">
    <w:p w14:paraId="74F7E60D" w14:textId="77777777" w:rsidR="00FD74D9" w:rsidRDefault="00FD74D9" w:rsidP="00FD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1E9B" w14:textId="7249CEB7" w:rsidR="00FD74D9" w:rsidRDefault="00FD74D9" w:rsidP="00FD74D9">
    <w:pPr>
      <w:tabs>
        <w:tab w:val="left" w:pos="1872"/>
      </w:tabs>
      <w:contextualSpacing/>
      <w:jc w:val="center"/>
      <w:rPr>
        <w:rFonts w:ascii="Arial" w:hAnsi="Arial" w:cs="Arial"/>
        <w:b/>
        <w:bCs/>
        <w:sz w:val="22"/>
        <w:szCs w:val="22"/>
      </w:rPr>
    </w:pPr>
    <w:r w:rsidRPr="00F32EC6">
      <w:rPr>
        <w:rFonts w:ascii="Arial" w:hAnsi="Arial" w:cs="Arial"/>
        <w:b/>
        <w:bCs/>
        <w:sz w:val="22"/>
        <w:szCs w:val="22"/>
      </w:rPr>
      <w:t>AGRICULTURE RISK COVERAGE (ARC) COUNTY YIELDS</w:t>
    </w:r>
  </w:p>
  <w:p w14:paraId="18810E75" w14:textId="77777777" w:rsidR="00FD74D9" w:rsidRPr="00F32EC6" w:rsidRDefault="00FD74D9" w:rsidP="00FD74D9">
    <w:pPr>
      <w:tabs>
        <w:tab w:val="left" w:pos="1872"/>
      </w:tabs>
      <w:contextualSpacing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Background Information for Use of the Detailed ARC-CO Yield File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0B0"/>
    <w:multiLevelType w:val="hybridMultilevel"/>
    <w:tmpl w:val="B7CECDC6"/>
    <w:lvl w:ilvl="0" w:tplc="87CE91B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C515F"/>
    <w:multiLevelType w:val="hybridMultilevel"/>
    <w:tmpl w:val="F8C2C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31E30"/>
    <w:multiLevelType w:val="hybridMultilevel"/>
    <w:tmpl w:val="91A88144"/>
    <w:lvl w:ilvl="0" w:tplc="87CE91B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061A2"/>
    <w:multiLevelType w:val="hybridMultilevel"/>
    <w:tmpl w:val="A93CDE10"/>
    <w:lvl w:ilvl="0" w:tplc="4AECC9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7CE91B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13C6"/>
    <w:multiLevelType w:val="hybridMultilevel"/>
    <w:tmpl w:val="2AA2C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6430"/>
    <w:multiLevelType w:val="hybridMultilevel"/>
    <w:tmpl w:val="BBC85822"/>
    <w:lvl w:ilvl="0" w:tplc="87CE91B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55632"/>
    <w:multiLevelType w:val="hybridMultilevel"/>
    <w:tmpl w:val="2592A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A471B"/>
    <w:multiLevelType w:val="hybridMultilevel"/>
    <w:tmpl w:val="E130A96A"/>
    <w:lvl w:ilvl="0" w:tplc="4AECC9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E91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94C8AD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20B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AE1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EB5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62A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8DF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4E1916"/>
    <w:multiLevelType w:val="hybridMultilevel"/>
    <w:tmpl w:val="4300AD3A"/>
    <w:lvl w:ilvl="0" w:tplc="87CE91B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143C"/>
    <w:multiLevelType w:val="hybridMultilevel"/>
    <w:tmpl w:val="F656E694"/>
    <w:lvl w:ilvl="0" w:tplc="87CE91B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01AB"/>
    <w:multiLevelType w:val="hybridMultilevel"/>
    <w:tmpl w:val="551ECBFE"/>
    <w:lvl w:ilvl="0" w:tplc="87CE91B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6099D"/>
    <w:multiLevelType w:val="hybridMultilevel"/>
    <w:tmpl w:val="DE9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F11BC"/>
    <w:multiLevelType w:val="hybridMultilevel"/>
    <w:tmpl w:val="328EDB04"/>
    <w:lvl w:ilvl="0" w:tplc="AD10D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2334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AD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6A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A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83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4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2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BD32A6"/>
    <w:multiLevelType w:val="hybridMultilevel"/>
    <w:tmpl w:val="924E3B8E"/>
    <w:lvl w:ilvl="0" w:tplc="0B8677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CD4FA">
      <w:start w:val="1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21C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EDC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217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8CA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A5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4EE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04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A392D"/>
    <w:multiLevelType w:val="hybridMultilevel"/>
    <w:tmpl w:val="0ECAB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84811"/>
    <w:multiLevelType w:val="hybridMultilevel"/>
    <w:tmpl w:val="E9CCBA06"/>
    <w:lvl w:ilvl="0" w:tplc="189C90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6E3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295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E17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A28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2EC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67D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CC4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449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5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0D"/>
    <w:rsid w:val="00052BAC"/>
    <w:rsid w:val="00086F63"/>
    <w:rsid w:val="000979ED"/>
    <w:rsid w:val="000A00ED"/>
    <w:rsid w:val="001066D0"/>
    <w:rsid w:val="00110899"/>
    <w:rsid w:val="00142201"/>
    <w:rsid w:val="001B473B"/>
    <w:rsid w:val="001F1E53"/>
    <w:rsid w:val="002225D7"/>
    <w:rsid w:val="002441A3"/>
    <w:rsid w:val="002643C0"/>
    <w:rsid w:val="002E219F"/>
    <w:rsid w:val="00327472"/>
    <w:rsid w:val="00332136"/>
    <w:rsid w:val="003B1AD2"/>
    <w:rsid w:val="004847DC"/>
    <w:rsid w:val="00492640"/>
    <w:rsid w:val="004E1D77"/>
    <w:rsid w:val="005952D0"/>
    <w:rsid w:val="005C37A0"/>
    <w:rsid w:val="00641B39"/>
    <w:rsid w:val="00656D0D"/>
    <w:rsid w:val="007C7BE3"/>
    <w:rsid w:val="00806A06"/>
    <w:rsid w:val="0083229D"/>
    <w:rsid w:val="00942B85"/>
    <w:rsid w:val="009B5294"/>
    <w:rsid w:val="009E3726"/>
    <w:rsid w:val="00A62E02"/>
    <w:rsid w:val="00A647BE"/>
    <w:rsid w:val="00B04279"/>
    <w:rsid w:val="00BB42E8"/>
    <w:rsid w:val="00BF293B"/>
    <w:rsid w:val="00BF5123"/>
    <w:rsid w:val="00C7544B"/>
    <w:rsid w:val="00C81ED5"/>
    <w:rsid w:val="00D15FCF"/>
    <w:rsid w:val="00E337FC"/>
    <w:rsid w:val="00F32EC6"/>
    <w:rsid w:val="00F417FF"/>
    <w:rsid w:val="00FD1E1B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F68"/>
  <w15:chartTrackingRefBased/>
  <w15:docId w15:val="{31C131F8-A0D1-404A-BDD8-09B6E09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s,Issue Action POC,List Paragraph1,3,POCG Table Text,Dot pt,F5 List Paragraph,List Paragraph Char Char Char,Indicator Text,Numbered Para 1,Bullet 1,Bullet Points,List Paragraph2,MAIN CONTENT,Normal numbered,Bullet"/>
    <w:basedOn w:val="Normal"/>
    <w:link w:val="ListParagraphChar"/>
    <w:uiPriority w:val="34"/>
    <w:qFormat/>
    <w:rsid w:val="00656D0D"/>
    <w:pPr>
      <w:ind w:left="720"/>
    </w:pPr>
  </w:style>
  <w:style w:type="character" w:styleId="CommentReference">
    <w:name w:val="annotation reference"/>
    <w:basedOn w:val="DefaultParagraphFont"/>
    <w:uiPriority w:val="99"/>
    <w:rsid w:val="00656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6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D0D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Paragraphs Char,Issue Action POC Char,List Paragraph1 Char,3 Char,POCG Table Text Char,Dot pt Char,F5 List Paragraph Char,List Paragraph Char Char Char Char,Indicator Text Char,Numbered Para 1 Char,Bullet 1 Char,Bullet Char"/>
    <w:basedOn w:val="DefaultParagraphFont"/>
    <w:link w:val="ListParagraph"/>
    <w:uiPriority w:val="34"/>
    <w:locked/>
    <w:rsid w:val="00656D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0D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4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4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4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0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8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5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Joy - FSA, Washington, DC</dc:creator>
  <cp:keywords/>
  <dc:description/>
  <cp:lastModifiedBy>Harwood, Joy - FSA, Washington, DC</cp:lastModifiedBy>
  <cp:revision>2</cp:revision>
  <cp:lastPrinted>2017-08-03T13:34:00Z</cp:lastPrinted>
  <dcterms:created xsi:type="dcterms:W3CDTF">2017-08-03T13:45:00Z</dcterms:created>
  <dcterms:modified xsi:type="dcterms:W3CDTF">2017-08-03T13:45:00Z</dcterms:modified>
</cp:coreProperties>
</file>